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/>
          <w:b/>
          <w:sz w:val="32"/>
        </w:rPr>
        <w:t>ТЕХНИЧЕСКОЕ ЗАДАНИЕ НА RFQ</w:t>
      </w:r>
    </w:p>
    <w:p>
      <w:pPr>
        <w:jc w:val="center"/>
      </w:pPr>
      <w:r>
        <w:rPr>
          <w:i/>
          <w:sz w:val="20"/>
        </w:rPr>
        <w:t>Переходная фланцевая втулка привода конвейера VF-002</w:t>
      </w:r>
    </w:p>
    <w:p>
      <w:pPr>
        <w:pStyle w:val="Heading1"/>
      </w:pPr>
      <w:r>
        <w:t>1. Назначение</w:t>
      </w:r>
    </w:p>
    <w:p>
      <w:r>
        <w:t>Кастомная переходная втулка для модернизации приводного ролика конвейера: установка в существующий корпус с посадочным отверстием Ø47 мм и сопряжение с новым валом Ø22 мм. Фланец обеспечивает осевую фиксацию, три отверстия — крепление, паз — однозначную ориентацию, канал и канавка — подачу пластичной смазки.</w:t>
      </w:r>
    </w:p>
    <w:p>
      <w:pPr>
        <w:pStyle w:val="Heading1"/>
      </w:pPr>
      <w:r>
        <w:t>2. Технические требования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5100"/>
            <w:vAlign w:val="center"/>
          </w:tcPr>
          <w:p>
            <w:r>
              <w:rPr>
                <w:b/>
              </w:rPr>
              <w:t>Параметр</w:t>
            </w:r>
          </w:p>
        </w:tc>
        <w:tc>
          <w:tcPr>
            <w:tcW w:type="dxa" w:w="5100"/>
            <w:vAlign w:val="center"/>
          </w:tcPr>
          <w:p>
            <w:r>
              <w:rPr>
                <w:b/>
              </w:rPr>
              <w:t>Требование</w:t>
            </w:r>
          </w:p>
        </w:tc>
      </w:tr>
      <w:tr>
        <w:tc>
          <w:tcPr>
            <w:tcW w:type="dxa" w:w="5100"/>
            <w:vAlign w:val="center"/>
          </w:tcPr>
          <w:p>
            <w:r>
              <w:t>Материал</w:t>
            </w:r>
          </w:p>
        </w:tc>
        <w:tc>
          <w:tcPr>
            <w:tcW w:type="dxa" w:w="5100"/>
            <w:vAlign w:val="center"/>
          </w:tcPr>
          <w:p>
            <w:r>
              <w:t>БрАЖ9-4 по ГОСТ 18175-78; заготовка и материал исполнителя</w:t>
            </w:r>
          </w:p>
        </w:tc>
      </w:tr>
      <w:tr>
        <w:tc>
          <w:tcPr>
            <w:tcW w:type="dxa" w:w="5100"/>
            <w:vAlign w:val="center"/>
          </w:tcPr>
          <w:p>
            <w:r>
              <w:t>Наружная посадка</w:t>
            </w:r>
          </w:p>
        </w:tc>
        <w:tc>
          <w:tcPr>
            <w:tcW w:type="dxa" w:w="5100"/>
            <w:vAlign w:val="center"/>
          </w:tcPr>
          <w:p>
            <w:r>
              <w:t>Ø47 p6</w:t>
            </w:r>
          </w:p>
        </w:tc>
      </w:tr>
      <w:tr>
        <w:tc>
          <w:tcPr>
            <w:tcW w:type="dxa" w:w="5100"/>
            <w:vAlign w:val="center"/>
          </w:tcPr>
          <w:p>
            <w:r>
              <w:t>Отверстие</w:t>
            </w:r>
          </w:p>
        </w:tc>
        <w:tc>
          <w:tcPr>
            <w:tcW w:type="dxa" w:w="5100"/>
            <w:vAlign w:val="center"/>
          </w:tcPr>
          <w:p>
            <w:r>
              <w:t>Ø22 H7, сквозное</w:t>
            </w:r>
          </w:p>
        </w:tc>
      </w:tr>
      <w:tr>
        <w:tc>
          <w:tcPr>
            <w:tcW w:type="dxa" w:w="5100"/>
            <w:vAlign w:val="center"/>
          </w:tcPr>
          <w:p>
            <w:r>
              <w:t>Общая длина</w:t>
            </w:r>
          </w:p>
        </w:tc>
        <w:tc>
          <w:tcPr>
            <w:tcW w:type="dxa" w:w="5100"/>
            <w:vAlign w:val="center"/>
          </w:tcPr>
          <w:p>
            <w:r>
              <w:t>32 ±0,10 мм</w:t>
            </w:r>
          </w:p>
        </w:tc>
      </w:tr>
      <w:tr>
        <w:tc>
          <w:tcPr>
            <w:tcW w:type="dxa" w:w="5100"/>
            <w:vAlign w:val="center"/>
          </w:tcPr>
          <w:p>
            <w:r>
              <w:t>Фланец</w:t>
            </w:r>
          </w:p>
        </w:tc>
        <w:tc>
          <w:tcPr>
            <w:tcW w:type="dxa" w:w="5100"/>
            <w:vAlign w:val="center"/>
          </w:tcPr>
          <w:p>
            <w:r>
              <w:t>Ø68 h12; толщина 6 ±0,10 мм</w:t>
            </w:r>
          </w:p>
        </w:tc>
      </w:tr>
      <w:tr>
        <w:tc>
          <w:tcPr>
            <w:tcW w:type="dxa" w:w="5100"/>
            <w:vAlign w:val="center"/>
          </w:tcPr>
          <w:p>
            <w:r>
              <w:t>Крепление</w:t>
            </w:r>
          </w:p>
        </w:tc>
        <w:tc>
          <w:tcPr>
            <w:tcW w:type="dxa" w:w="5100"/>
            <w:vAlign w:val="center"/>
          </w:tcPr>
          <w:p>
            <w:r>
              <w:t>3 × Ø6,6 мм на PCD Ø54 мм, равномерно 120°</w:t>
            </w:r>
          </w:p>
        </w:tc>
      </w:tr>
      <w:tr>
        <w:tc>
          <w:tcPr>
            <w:tcW w:type="dxa" w:w="5100"/>
            <w:vAlign w:val="center"/>
          </w:tcPr>
          <w:p>
            <w:r>
              <w:t>Ориентирующий паз</w:t>
            </w:r>
          </w:p>
        </w:tc>
        <w:tc>
          <w:tcPr>
            <w:tcW w:type="dxa" w:w="5100"/>
            <w:vAlign w:val="center"/>
          </w:tcPr>
          <w:p>
            <w:r>
              <w:t>6 × 3 мм на наружной кромке фланца</w:t>
            </w:r>
          </w:p>
        </w:tc>
      </w:tr>
      <w:tr>
        <w:tc>
          <w:tcPr>
            <w:tcW w:type="dxa" w:w="5100"/>
            <w:vAlign w:val="center"/>
          </w:tcPr>
          <w:p>
            <w:r>
              <w:t>Смазочная канавка</w:t>
            </w:r>
          </w:p>
        </w:tc>
        <w:tc>
          <w:tcPr>
            <w:tcW w:type="dxa" w:w="5100"/>
            <w:vAlign w:val="center"/>
          </w:tcPr>
          <w:p>
            <w:r>
              <w:t>Кольцевая, ширина 5 мм, глубина 1 мм</w:t>
            </w:r>
          </w:p>
        </w:tc>
      </w:tr>
      <w:tr>
        <w:tc>
          <w:tcPr>
            <w:tcW w:type="dxa" w:w="5100"/>
            <w:vAlign w:val="center"/>
          </w:tcPr>
          <w:p>
            <w:r>
              <w:t>Смазочный канал</w:t>
            </w:r>
          </w:p>
        </w:tc>
        <w:tc>
          <w:tcPr>
            <w:tcW w:type="dxa" w:w="5100"/>
            <w:vAlign w:val="center"/>
          </w:tcPr>
          <w:p>
            <w:r>
              <w:t>Радиальное отверстие Ø4 мм до канавки</w:t>
            </w:r>
          </w:p>
        </w:tc>
      </w:tr>
      <w:tr>
        <w:tc>
          <w:tcPr>
            <w:tcW w:type="dxa" w:w="5100"/>
            <w:vAlign w:val="center"/>
          </w:tcPr>
          <w:p>
            <w:r>
              <w:t>Соосность</w:t>
            </w:r>
          </w:p>
        </w:tc>
        <w:tc>
          <w:tcPr>
            <w:tcW w:type="dxa" w:w="5100"/>
            <w:vAlign w:val="center"/>
          </w:tcPr>
          <w:p>
            <w:r>
              <w:t>Ось Ø22 относительно Ø47 — 0,03 мм</w:t>
            </w:r>
          </w:p>
        </w:tc>
      </w:tr>
      <w:tr>
        <w:tc>
          <w:tcPr>
            <w:tcW w:type="dxa" w:w="5100"/>
            <w:vAlign w:val="center"/>
          </w:tcPr>
          <w:p>
            <w:r>
              <w:t>Перпендикулярность</w:t>
            </w:r>
          </w:p>
        </w:tc>
        <w:tc>
          <w:tcPr>
            <w:tcW w:type="dxa" w:w="5100"/>
            <w:vAlign w:val="center"/>
          </w:tcPr>
          <w:p>
            <w:r>
              <w:t>Торец А относительно оси Ø22 — 0,03 мм</w:t>
            </w:r>
          </w:p>
        </w:tc>
      </w:tr>
      <w:tr>
        <w:tc>
          <w:tcPr>
            <w:tcW w:type="dxa" w:w="5100"/>
            <w:vAlign w:val="center"/>
          </w:tcPr>
          <w:p>
            <w:r>
              <w:t>Шероховатость</w:t>
            </w:r>
          </w:p>
        </w:tc>
        <w:tc>
          <w:tcPr>
            <w:tcW w:type="dxa" w:w="5100"/>
            <w:vAlign w:val="center"/>
          </w:tcPr>
          <w:p>
            <w:r>
              <w:t>Ø22 Ra 1,6; Ø47 и торец А Ra 3,2; прочие обработанные поверхности Ra 6,3</w:t>
            </w:r>
          </w:p>
        </w:tc>
      </w:tr>
      <w:tr>
        <w:tc>
          <w:tcPr>
            <w:tcW w:type="dxa" w:w="5100"/>
            <w:vAlign w:val="center"/>
          </w:tcPr>
          <w:p>
            <w:r>
              <w:t>Кромки</w:t>
            </w:r>
          </w:p>
        </w:tc>
        <w:tc>
          <w:tcPr>
            <w:tcW w:type="dxa" w:w="5100"/>
            <w:vAlign w:val="center"/>
          </w:tcPr>
          <w:p>
            <w:r>
              <w:t>Фаски 1×45°, удалить заусенцы</w:t>
            </w:r>
          </w:p>
        </w:tc>
      </w:tr>
      <w:tr>
        <w:tc>
          <w:tcPr>
            <w:tcW w:type="dxa" w:w="5100"/>
            <w:vAlign w:val="center"/>
          </w:tcPr>
          <w:p>
            <w:r>
              <w:t>Покрытие/ТО</w:t>
            </w:r>
          </w:p>
        </w:tc>
        <w:tc>
          <w:tcPr>
            <w:tcW w:type="dxa" w:w="5100"/>
            <w:vAlign w:val="center"/>
          </w:tcPr>
          <w:p>
            <w:r>
              <w:t>Не требуются</w:t>
            </w:r>
          </w:p>
        </w:tc>
      </w:tr>
      <w:tr>
        <w:tc>
          <w:tcPr>
            <w:tcW w:type="dxa" w:w="5100"/>
            <w:vAlign w:val="center"/>
          </w:tcPr>
          <w:p>
            <w:r>
              <w:t>Неуказанные допуски</w:t>
            </w:r>
          </w:p>
        </w:tc>
        <w:tc>
          <w:tcPr>
            <w:tcW w:type="dxa" w:w="5100"/>
            <w:vAlign w:val="center"/>
          </w:tcPr>
          <w:p>
            <w:r>
              <w:t>ГОСТ 30893.1-2002, класс m</w:t>
            </w:r>
          </w:p>
        </w:tc>
      </w:tr>
    </w:tbl>
    <w:p>
      <w:pPr>
        <w:pStyle w:val="Heading1"/>
      </w:pPr>
      <w:r>
        <w:t>3. Партии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c>
          <w:tcPr>
            <w:tcW w:type="dxa" w:w="3400"/>
            <w:vAlign w:val="center"/>
          </w:tcPr>
          <w:p>
            <w:r>
              <w:rPr>
                <w:b/>
              </w:rPr>
              <w:t>Сценарий</w:t>
            </w:r>
          </w:p>
        </w:tc>
        <w:tc>
          <w:tcPr>
            <w:tcW w:type="dxa" w:w="3400"/>
            <w:vAlign w:val="center"/>
          </w:tcPr>
          <w:p>
            <w:r>
              <w:rPr>
                <w:b/>
              </w:rPr>
              <w:t>Количество</w:t>
            </w:r>
          </w:p>
        </w:tc>
        <w:tc>
          <w:tcPr>
            <w:tcW w:type="dxa" w:w="3400"/>
            <w:vAlign w:val="center"/>
          </w:tcPr>
          <w:p>
            <w:r>
              <w:rPr>
                <w:b/>
              </w:rPr>
              <w:t>Назначение</w:t>
            </w:r>
          </w:p>
        </w:tc>
      </w:tr>
      <w:tr>
        <w:tc>
          <w:tcPr>
            <w:tcW w:type="dxa" w:w="3400"/>
            <w:vAlign w:val="center"/>
          </w:tcPr>
          <w:p>
            <w:r>
              <w:t>Прототип</w:t>
            </w:r>
          </w:p>
        </w:tc>
        <w:tc>
          <w:tcPr>
            <w:tcW w:type="dxa" w:w="3400"/>
            <w:vAlign w:val="center"/>
          </w:tcPr>
          <w:p>
            <w:r>
              <w:t>1 шт.</w:t>
            </w:r>
          </w:p>
        </w:tc>
        <w:tc>
          <w:tcPr>
            <w:tcW w:type="dxa" w:w="3400"/>
            <w:vAlign w:val="center"/>
          </w:tcPr>
          <w:p>
            <w:r>
              <w:t>Проверка минимальной партии и стоимости единичного изготовления</w:t>
            </w:r>
          </w:p>
        </w:tc>
      </w:tr>
      <w:tr>
        <w:tc>
          <w:tcPr>
            <w:tcW w:type="dxa" w:w="3400"/>
            <w:vAlign w:val="center"/>
          </w:tcPr>
          <w:p>
            <w:r>
              <w:t>Ремонтная партия</w:t>
            </w:r>
          </w:p>
        </w:tc>
        <w:tc>
          <w:tcPr>
            <w:tcW w:type="dxa" w:w="3400"/>
            <w:vAlign w:val="center"/>
          </w:tcPr>
          <w:p>
            <w:r>
              <w:t>10 шт.</w:t>
            </w:r>
          </w:p>
        </w:tc>
        <w:tc>
          <w:tcPr>
            <w:tcW w:type="dxa" w:w="3400"/>
            <w:vAlign w:val="center"/>
          </w:tcPr>
          <w:p>
            <w:r>
              <w:t>Основной сценарий сравнения платформ</w:t>
            </w:r>
          </w:p>
        </w:tc>
      </w:tr>
      <w:tr>
        <w:tc>
          <w:tcPr>
            <w:tcW w:type="dxa" w:w="3400"/>
            <w:vAlign w:val="center"/>
          </w:tcPr>
          <w:p>
            <w:r>
              <w:t>Малая серия</w:t>
            </w:r>
          </w:p>
        </w:tc>
        <w:tc>
          <w:tcPr>
            <w:tcW w:type="dxa" w:w="3400"/>
            <w:vAlign w:val="center"/>
          </w:tcPr>
          <w:p>
            <w:r>
              <w:t>50 шт.</w:t>
            </w:r>
          </w:p>
        </w:tc>
        <w:tc>
          <w:tcPr>
            <w:tcW w:type="dxa" w:w="3400"/>
            <w:vAlign w:val="center"/>
          </w:tcPr>
          <w:p>
            <w:r>
              <w:t>Проверка эффекта масштаба</w:t>
            </w:r>
          </w:p>
        </w:tc>
      </w:tr>
    </w:tbl>
    <w:p>
      <w:pPr>
        <w:pStyle w:val="Heading1"/>
      </w:pPr>
      <w:r>
        <w:t>4. Контроль и документы</w:t>
      </w:r>
    </w:p>
    <w:p>
      <w:pPr>
        <w:pStyle w:val="ListBullet"/>
      </w:pPr>
      <w:r>
        <w:t>Протокол измерений критических размеров: для 1 детали в партии 1 шт.; для 3 деталей в партиях 10 и 50 шт.</w:t>
      </w:r>
    </w:p>
    <w:p>
      <w:pPr>
        <w:pStyle w:val="ListBullet"/>
      </w:pPr>
      <w:r>
        <w:t>В протокол включить Ø22, Ø47, длину, толщину фланца, соосность и перпендикулярность.</w:t>
      </w:r>
    </w:p>
    <w:p>
      <w:pPr>
        <w:pStyle w:val="ListBullet"/>
      </w:pPr>
      <w:r>
        <w:t>По возможности приложить сертификат или паспорт материала.</w:t>
      </w:r>
    </w:p>
    <w:p>
      <w:pPr>
        <w:pStyle w:val="ListBullet"/>
      </w:pPr>
      <w:r>
        <w:t>Исполнитель обязан до расчёта перечислить все технологические допущения и предлагаемые отклонения. Молчаливая замена материала, посадок или допусков не допускается.</w:t>
      </w:r>
    </w:p>
    <w:p>
      <w:pPr>
        <w:pStyle w:val="Heading1"/>
      </w:pPr>
      <w:r>
        <w:t>5. Коммерческие требования</w:t>
      </w:r>
    </w:p>
    <w:p>
      <w:pPr>
        <w:pStyle w:val="ListBullet"/>
      </w:pPr>
      <w:r>
        <w:t>Раздельная цена для 1, 10 и 50 шт.</w:t>
      </w:r>
    </w:p>
    <w:p>
      <w:pPr>
        <w:pStyle w:val="ListBullet"/>
      </w:pPr>
      <w:r>
        <w:t>Цена единицы и общая стоимость; НДС/режим налогообложения.</w:t>
      </w:r>
    </w:p>
    <w:p>
      <w:pPr>
        <w:pStyle w:val="ListBullet"/>
      </w:pPr>
      <w:r>
        <w:t>Материал, изготовление, контроль и доставка — по возможности раздельно.</w:t>
      </w:r>
    </w:p>
    <w:p>
      <w:pPr>
        <w:pStyle w:val="ListBullet"/>
      </w:pPr>
      <w:r>
        <w:t>Срок запуска и изготовления; минимальная партия; аванс; срок действия предложения.</w:t>
      </w:r>
    </w:p>
    <w:p>
      <w:pPr>
        <w:pStyle w:val="ListBullet"/>
      </w:pPr>
      <w:r>
        <w:t>Доставка в Москву; точный адрес сообщается только после отдельного решения о заказе.</w:t>
      </w:r>
    </w:p>
    <w:p>
      <w:pPr>
        <w:pStyle w:val="Heading1"/>
      </w:pPr>
      <w:r>
        <w:t>6. Приоритет документов</w:t>
      </w:r>
    </w:p>
    <w:p>
      <w:r>
        <w:t>Для RFQ приоритет имеет VF-002_drawing.pdf, затем настоящее ТЗ. STL и DXF являются справочными. Комплект не разрешает производство автоматически: до реального заказа КД должна быть проверена инженером-конструктором и подтверждена заказчиком.</w:t>
      </w:r>
    </w:p>
    <w:sectPr w:rsidR="00FC693F" w:rsidRPr="0006063C" w:rsidSect="00034616">
      <w:pgSz w:w="12240" w:h="15840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